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3C1E" w14:textId="45F8D7B7" w:rsidR="2C9EB071" w:rsidRDefault="2C9EB071" w:rsidP="00683467">
      <w:pPr>
        <w:jc w:val="center"/>
        <w:rPr>
          <w:sz w:val="28"/>
          <w:szCs w:val="28"/>
        </w:rPr>
      </w:pPr>
      <w:bookmarkStart w:id="0" w:name="_GoBack"/>
      <w:bookmarkEnd w:id="0"/>
      <w:r w:rsidRPr="2C9EB071">
        <w:rPr>
          <w:sz w:val="28"/>
          <w:szCs w:val="28"/>
        </w:rPr>
        <w:t>FRIENDS OF DIPTFORD SCHOOL COMITTEE.</w:t>
      </w:r>
    </w:p>
    <w:p w14:paraId="760DE41B" w14:textId="5800DAF6" w:rsidR="2C9EB071" w:rsidRDefault="00D53A0B" w:rsidP="2C9EB071">
      <w:pPr>
        <w:jc w:val="center"/>
        <w:rPr>
          <w:sz w:val="28"/>
          <w:szCs w:val="28"/>
        </w:rPr>
      </w:pPr>
      <w:r>
        <w:rPr>
          <w:sz w:val="28"/>
          <w:szCs w:val="28"/>
        </w:rPr>
        <w:t xml:space="preserve">Wednesday </w:t>
      </w:r>
      <w:r w:rsidR="00446CF5">
        <w:rPr>
          <w:sz w:val="28"/>
          <w:szCs w:val="28"/>
        </w:rPr>
        <w:t>15</w:t>
      </w:r>
      <w:r w:rsidR="00446CF5" w:rsidRPr="00446CF5">
        <w:rPr>
          <w:sz w:val="28"/>
          <w:szCs w:val="28"/>
          <w:vertAlign w:val="superscript"/>
        </w:rPr>
        <w:t>th</w:t>
      </w:r>
      <w:r w:rsidR="00446CF5">
        <w:rPr>
          <w:sz w:val="28"/>
          <w:szCs w:val="28"/>
        </w:rPr>
        <w:t xml:space="preserve"> September</w:t>
      </w:r>
      <w:r w:rsidR="2C9EB071" w:rsidRPr="2C9EB071">
        <w:rPr>
          <w:sz w:val="28"/>
          <w:szCs w:val="28"/>
        </w:rPr>
        <w:t xml:space="preserve"> 2021 @ 19.30</w:t>
      </w:r>
    </w:p>
    <w:p w14:paraId="5F98C48C" w14:textId="1BF25F86" w:rsidR="2C9EB071" w:rsidRDefault="2C9EB071" w:rsidP="2C9EB071">
      <w:pPr>
        <w:jc w:val="center"/>
      </w:pPr>
    </w:p>
    <w:p w14:paraId="5F92DC8C" w14:textId="7B706B8A" w:rsidR="2C9EB071" w:rsidRDefault="00144361" w:rsidP="2C9EB071">
      <w:pPr>
        <w:jc w:val="center"/>
        <w:rPr>
          <w:sz w:val="48"/>
          <w:szCs w:val="48"/>
        </w:rPr>
      </w:pPr>
      <w:r>
        <w:rPr>
          <w:sz w:val="48"/>
          <w:szCs w:val="48"/>
        </w:rPr>
        <w:t xml:space="preserve">AGM </w:t>
      </w:r>
      <w:r w:rsidR="00683467">
        <w:rPr>
          <w:sz w:val="48"/>
          <w:szCs w:val="48"/>
        </w:rPr>
        <w:t>Minutes</w:t>
      </w:r>
      <w:r w:rsidR="2C9EB071" w:rsidRPr="2C9EB071">
        <w:rPr>
          <w:sz w:val="48"/>
          <w:szCs w:val="48"/>
        </w:rPr>
        <w:t>.</w:t>
      </w:r>
    </w:p>
    <w:p w14:paraId="26EA0A76" w14:textId="309269E1" w:rsidR="2C9EB071" w:rsidRDefault="2C9EB071" w:rsidP="2C9EB071">
      <w:pPr>
        <w:jc w:val="center"/>
        <w:rPr>
          <w:sz w:val="40"/>
          <w:szCs w:val="40"/>
        </w:rPr>
      </w:pPr>
    </w:p>
    <w:p w14:paraId="6D487CB7" w14:textId="01BAF0BB" w:rsidR="00D721FB" w:rsidRPr="00F3248F" w:rsidRDefault="00D721FB" w:rsidP="00F3248F">
      <w:pPr>
        <w:pStyle w:val="ListParagraph"/>
        <w:numPr>
          <w:ilvl w:val="0"/>
          <w:numId w:val="2"/>
        </w:numPr>
        <w:spacing w:after="0" w:line="480" w:lineRule="auto"/>
        <w:rPr>
          <w:rFonts w:eastAsiaTheme="minorEastAsia"/>
          <w:sz w:val="28"/>
          <w:szCs w:val="28"/>
        </w:rPr>
      </w:pPr>
      <w:r>
        <w:rPr>
          <w:sz w:val="28"/>
          <w:szCs w:val="28"/>
        </w:rPr>
        <w:t>Present:</w:t>
      </w:r>
    </w:p>
    <w:p w14:paraId="7BB1DBC5" w14:textId="74082134" w:rsidR="00F3248F" w:rsidRPr="00F3248F" w:rsidRDefault="00F3248F" w:rsidP="00F3248F">
      <w:pPr>
        <w:spacing w:line="240" w:lineRule="auto"/>
        <w:rPr>
          <w:rFonts w:eastAsiaTheme="minorEastAsia"/>
          <w:sz w:val="24"/>
          <w:szCs w:val="24"/>
        </w:rPr>
      </w:pPr>
      <w:r>
        <w:rPr>
          <w:rFonts w:eastAsiaTheme="minorEastAsia"/>
          <w:sz w:val="24"/>
          <w:szCs w:val="24"/>
        </w:rPr>
        <w:t>Jo Palmer (Chair), Roger Knight (Treasurer), Amy Lethbridge (Secretary), Kim Woodley</w:t>
      </w:r>
      <w:r w:rsidR="0073102C">
        <w:rPr>
          <w:rFonts w:eastAsiaTheme="minorEastAsia"/>
          <w:sz w:val="24"/>
          <w:szCs w:val="24"/>
        </w:rPr>
        <w:t xml:space="preserve"> (Committee Member), Eleanor Barnes (Committee Member)</w:t>
      </w:r>
      <w:r>
        <w:rPr>
          <w:rFonts w:eastAsiaTheme="minorEastAsia"/>
          <w:sz w:val="24"/>
          <w:szCs w:val="24"/>
        </w:rPr>
        <w:t>, Jodie Churchward.</w:t>
      </w:r>
    </w:p>
    <w:p w14:paraId="3C2479E0" w14:textId="4F87242E" w:rsidR="2C9EB071" w:rsidRPr="00F3248F" w:rsidRDefault="2C9EB071" w:rsidP="00F3248F">
      <w:pPr>
        <w:pStyle w:val="ListParagraph"/>
        <w:numPr>
          <w:ilvl w:val="0"/>
          <w:numId w:val="2"/>
        </w:numPr>
        <w:spacing w:after="0" w:line="480" w:lineRule="auto"/>
        <w:rPr>
          <w:rFonts w:eastAsiaTheme="minorEastAsia"/>
          <w:sz w:val="28"/>
          <w:szCs w:val="28"/>
        </w:rPr>
      </w:pPr>
      <w:r w:rsidRPr="2C9EB071">
        <w:rPr>
          <w:sz w:val="28"/>
          <w:szCs w:val="28"/>
        </w:rPr>
        <w:t>Apologies</w:t>
      </w:r>
      <w:r w:rsidR="00D721FB">
        <w:rPr>
          <w:sz w:val="28"/>
          <w:szCs w:val="28"/>
        </w:rPr>
        <w:t>:</w:t>
      </w:r>
    </w:p>
    <w:p w14:paraId="0E83C870" w14:textId="269F662E" w:rsidR="00F3248F" w:rsidRPr="00F3248F" w:rsidRDefault="00F3248F" w:rsidP="00F3248F">
      <w:pPr>
        <w:spacing w:line="240" w:lineRule="auto"/>
        <w:rPr>
          <w:rFonts w:eastAsiaTheme="minorEastAsia"/>
          <w:sz w:val="24"/>
          <w:szCs w:val="24"/>
        </w:rPr>
      </w:pPr>
      <w:r w:rsidRPr="00F3248F">
        <w:rPr>
          <w:rFonts w:eastAsiaTheme="minorEastAsia"/>
          <w:sz w:val="24"/>
          <w:szCs w:val="24"/>
        </w:rPr>
        <w:t>Cheryl Mathieson</w:t>
      </w:r>
      <w:r>
        <w:rPr>
          <w:rFonts w:eastAsiaTheme="minorEastAsia"/>
          <w:sz w:val="24"/>
          <w:szCs w:val="24"/>
        </w:rPr>
        <w:t>.</w:t>
      </w:r>
    </w:p>
    <w:p w14:paraId="63980751" w14:textId="41C560B1" w:rsidR="2C9EB071" w:rsidRDefault="2C9EB071" w:rsidP="2C9EB071">
      <w:pPr>
        <w:pStyle w:val="ListParagraph"/>
        <w:numPr>
          <w:ilvl w:val="0"/>
          <w:numId w:val="2"/>
        </w:numPr>
        <w:spacing w:line="480" w:lineRule="auto"/>
        <w:rPr>
          <w:sz w:val="28"/>
          <w:szCs w:val="28"/>
        </w:rPr>
      </w:pPr>
      <w:r w:rsidRPr="2C9EB071">
        <w:rPr>
          <w:sz w:val="28"/>
          <w:szCs w:val="28"/>
        </w:rPr>
        <w:t xml:space="preserve">Minutes from last </w:t>
      </w:r>
      <w:r w:rsidR="00144361">
        <w:rPr>
          <w:sz w:val="28"/>
          <w:szCs w:val="28"/>
        </w:rPr>
        <w:t>AGM</w:t>
      </w:r>
      <w:r w:rsidR="00D721FB">
        <w:rPr>
          <w:sz w:val="28"/>
          <w:szCs w:val="28"/>
        </w:rPr>
        <w:t xml:space="preserve"> signed and already on WordPress.</w:t>
      </w:r>
    </w:p>
    <w:p w14:paraId="5932A210" w14:textId="22EBBCC8" w:rsidR="2C9EB071" w:rsidRDefault="2C9EB071" w:rsidP="00D721FB">
      <w:pPr>
        <w:pStyle w:val="ListParagraph"/>
        <w:numPr>
          <w:ilvl w:val="0"/>
          <w:numId w:val="2"/>
        </w:numPr>
        <w:spacing w:after="0" w:line="480" w:lineRule="auto"/>
        <w:rPr>
          <w:sz w:val="28"/>
          <w:szCs w:val="28"/>
        </w:rPr>
      </w:pPr>
      <w:r w:rsidRPr="2C9EB071">
        <w:rPr>
          <w:sz w:val="28"/>
          <w:szCs w:val="28"/>
        </w:rPr>
        <w:t>Chairs Report</w:t>
      </w:r>
      <w:r w:rsidR="00D721FB">
        <w:rPr>
          <w:sz w:val="28"/>
          <w:szCs w:val="28"/>
        </w:rPr>
        <w:t>:</w:t>
      </w:r>
    </w:p>
    <w:p w14:paraId="3B4763EE"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It’s been a strange year for us all and fundraising has been slightly trickier. However, with a great committee and parents supporting us we have achieved some really great things.</w:t>
      </w:r>
    </w:p>
    <w:p w14:paraId="3CD16DE3"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Reinstallations have been completed, with the stage and new play equipment in October and the steps in March. A huge thanks goes to the Woodley family and Colin Barons for sourcing the materials and installing the stage and steps for free, and thanks also to Chris Talbot for doing the groundworks for the play area. We also managed to sell the old sails and buy some new gazebo’s in time for the sports day.</w:t>
      </w:r>
    </w:p>
    <w:p w14:paraId="497181CB"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 xml:space="preserve">At the start of the year FODs were set a target from school to raise funds towards a covered area for the lower </w:t>
      </w:r>
      <w:proofErr w:type="gramStart"/>
      <w:r w:rsidRPr="00D721FB">
        <w:rPr>
          <w:rFonts w:asciiTheme="minorHAnsi" w:hAnsiTheme="minorHAnsi" w:cstheme="minorHAnsi"/>
          <w:color w:val="222222"/>
        </w:rPr>
        <w:t>years</w:t>
      </w:r>
      <w:proofErr w:type="gramEnd"/>
      <w:r w:rsidRPr="00D721FB">
        <w:rPr>
          <w:rFonts w:asciiTheme="minorHAnsi" w:hAnsiTheme="minorHAnsi" w:cstheme="minorHAnsi"/>
          <w:color w:val="222222"/>
        </w:rPr>
        <w:t xml:space="preserve"> playground and covered seating area for the field. We decided the lower years cover should be a priority.</w:t>
      </w:r>
    </w:p>
    <w:p w14:paraId="228D2AE7"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We put our heads together and came up with some virtual fundraising ideas including the Duck Race, Easter Quiz and Teresa’s Body shop grid raffle. These events were supported well and gave everyone something to look forward too. Hopefully next year we can do these events in person and make more of a social event of them.</w:t>
      </w:r>
    </w:p>
    <w:p w14:paraId="1CB3B7D0"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Into the winter months and the traditional Christmas activities were arranged including selling Christmas cards, tea towels and coasters, as well as organising the Christmas craft day. Although parents were unable to go into the school to help we still managed to provide the children with some lovely crafts to do throughout the day. Father Christmas was also unable to visit in person, but Clare Moorman very kindly organised personalised messages to be recorded by Santa himself and the children loved it, so thank you Clare.</w:t>
      </w:r>
    </w:p>
    <w:p w14:paraId="359F5C83"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lastRenderedPageBreak/>
        <w:t xml:space="preserve">Other fundraising along the way have included 100 club, bags2school, a second hand uniform sale, film day and </w:t>
      </w:r>
      <w:proofErr w:type="spellStart"/>
      <w:r w:rsidRPr="00D721FB">
        <w:rPr>
          <w:rFonts w:asciiTheme="minorHAnsi" w:hAnsiTheme="minorHAnsi" w:cstheme="minorHAnsi"/>
          <w:color w:val="222222"/>
        </w:rPr>
        <w:t>amazonsmile</w:t>
      </w:r>
      <w:proofErr w:type="spellEnd"/>
      <w:r w:rsidRPr="00D721FB">
        <w:rPr>
          <w:rFonts w:asciiTheme="minorHAnsi" w:hAnsiTheme="minorHAnsi" w:cstheme="minorHAnsi"/>
          <w:color w:val="222222"/>
        </w:rPr>
        <w:t>.</w:t>
      </w:r>
    </w:p>
    <w:p w14:paraId="3DACDF0A"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The annual school tidy up was held at the end of the summer holidays. Families met at the school and did a number of jobs including, strimming, painting sheds and fences, making a temporary seating area, sweeping and washing down buildings. We were also lucky enough to have Matt Matthew join us, who took on the mammoth task of painting the outside of the school. Thank you to everyone who popped in, for no matter how long, everyone made a difference!</w:t>
      </w:r>
    </w:p>
    <w:p w14:paraId="2BF5471E"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 xml:space="preserve">Upcoming events include </w:t>
      </w:r>
      <w:proofErr w:type="spellStart"/>
      <w:r w:rsidRPr="00D721FB">
        <w:rPr>
          <w:rFonts w:asciiTheme="minorHAnsi" w:hAnsiTheme="minorHAnsi" w:cstheme="minorHAnsi"/>
          <w:color w:val="222222"/>
        </w:rPr>
        <w:t>Diptfest</w:t>
      </w:r>
      <w:proofErr w:type="spellEnd"/>
      <w:r w:rsidRPr="00D721FB">
        <w:rPr>
          <w:rFonts w:asciiTheme="minorHAnsi" w:hAnsiTheme="minorHAnsi" w:cstheme="minorHAnsi"/>
          <w:color w:val="222222"/>
        </w:rPr>
        <w:t xml:space="preserve"> and the Totnes Raft Race; where 8 Diptford dads are getting together to race down the River Dart to raise additional funds for the school! These kind of events are not only to raise funds for the school but as social events for parents to meet other parents.</w:t>
      </w:r>
    </w:p>
    <w:p w14:paraId="4A09B972" w14:textId="77777777" w:rsid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As ever none of this could happen without the great efforts of the committee, I would like to personally thank Elle Barnes, Kim Woodley, Roger Knight and Amy Lethbridge for their invaluable support to me this year. And also to Jodie and Rachael for being at the end of the phone!</w:t>
      </w:r>
    </w:p>
    <w:p w14:paraId="15A29A0B" w14:textId="5ABE1A74"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 xml:space="preserve">On behalf of the committee I would like to thank all of our supporters in the school and all our supporters amongst the parents and community. </w:t>
      </w:r>
    </w:p>
    <w:p w14:paraId="48B6076B" w14:textId="2CDFFBEE" w:rsid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This next year will hopefully be less challenging for us all. We are hoping to run some events which have been greatly missed, such as the school disco’s, parents Christmas lunch and pub quiz! We hope you can all join us</w:t>
      </w:r>
      <w:r>
        <w:rPr>
          <w:rFonts w:asciiTheme="minorHAnsi" w:hAnsiTheme="minorHAnsi" w:cstheme="minorHAnsi"/>
          <w:color w:val="222222"/>
        </w:rPr>
        <w:t>.</w:t>
      </w:r>
    </w:p>
    <w:p w14:paraId="27D0A13E" w14:textId="77777777" w:rsidR="00D721FB"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p>
    <w:p w14:paraId="7C4BF778" w14:textId="5D1BC266" w:rsidR="00AB05D2" w:rsidRDefault="2C9EB071" w:rsidP="00144361">
      <w:pPr>
        <w:pStyle w:val="ListParagraph"/>
        <w:numPr>
          <w:ilvl w:val="0"/>
          <w:numId w:val="2"/>
        </w:numPr>
        <w:spacing w:line="480" w:lineRule="auto"/>
        <w:rPr>
          <w:sz w:val="28"/>
          <w:szCs w:val="28"/>
        </w:rPr>
      </w:pPr>
      <w:r w:rsidRPr="2C9EB071">
        <w:rPr>
          <w:sz w:val="28"/>
          <w:szCs w:val="28"/>
        </w:rPr>
        <w:t>Treasurers Report.</w:t>
      </w:r>
    </w:p>
    <w:p w14:paraId="594D1ABD" w14:textId="77777777" w:rsidR="007A73F1" w:rsidRPr="007A73F1" w:rsidRDefault="007A73F1" w:rsidP="007A73F1">
      <w:pPr>
        <w:spacing w:line="240" w:lineRule="auto"/>
        <w:rPr>
          <w:rFonts w:cstheme="minorHAnsi"/>
          <w:sz w:val="24"/>
          <w:szCs w:val="24"/>
        </w:rPr>
      </w:pPr>
      <w:r w:rsidRPr="007A73F1">
        <w:rPr>
          <w:rFonts w:cstheme="minorHAnsi"/>
          <w:sz w:val="24"/>
          <w:szCs w:val="24"/>
        </w:rPr>
        <w:t>Subject to the committee’s approval of this report, we are now in a position to complete our annual filing with the Charity Commissioners.</w:t>
      </w:r>
    </w:p>
    <w:p w14:paraId="7E07AE9B" w14:textId="77777777" w:rsidR="007A73F1" w:rsidRPr="007A73F1" w:rsidRDefault="007A73F1" w:rsidP="007A73F1">
      <w:pPr>
        <w:spacing w:line="240" w:lineRule="auto"/>
        <w:rPr>
          <w:rFonts w:cstheme="minorHAnsi"/>
          <w:sz w:val="24"/>
          <w:szCs w:val="24"/>
        </w:rPr>
      </w:pPr>
      <w:r w:rsidRPr="007A73F1">
        <w:rPr>
          <w:rFonts w:cstheme="minorHAnsi"/>
          <w:sz w:val="24"/>
          <w:szCs w:val="24"/>
        </w:rPr>
        <w:t>Details of grants and donations received, the proceeds and costs of fund raising activities, and disbursements are set out in the attachment to this note.</w:t>
      </w:r>
    </w:p>
    <w:p w14:paraId="07C26A5F" w14:textId="77777777" w:rsidR="007A73F1" w:rsidRPr="007A73F1" w:rsidRDefault="007A73F1" w:rsidP="007A73F1">
      <w:pPr>
        <w:spacing w:line="240" w:lineRule="auto"/>
        <w:rPr>
          <w:rFonts w:cstheme="minorHAnsi"/>
          <w:sz w:val="24"/>
          <w:szCs w:val="24"/>
        </w:rPr>
      </w:pPr>
      <w:r w:rsidRPr="007A73F1">
        <w:rPr>
          <w:rFonts w:cstheme="minorHAnsi"/>
          <w:sz w:val="24"/>
          <w:szCs w:val="24"/>
        </w:rPr>
        <w:t>The highlight figures are:</w:t>
      </w:r>
    </w:p>
    <w:tbl>
      <w:tblPr>
        <w:tblStyle w:val="TableGrid"/>
        <w:tblW w:w="0" w:type="auto"/>
        <w:tblLook w:val="04A0" w:firstRow="1" w:lastRow="0" w:firstColumn="1" w:lastColumn="0" w:noHBand="0" w:noVBand="1"/>
      </w:tblPr>
      <w:tblGrid>
        <w:gridCol w:w="7366"/>
        <w:gridCol w:w="1650"/>
      </w:tblGrid>
      <w:tr w:rsidR="007A73F1" w:rsidRPr="007A73F1" w14:paraId="24AD7F6D" w14:textId="77777777" w:rsidTr="00D74D69">
        <w:tc>
          <w:tcPr>
            <w:tcW w:w="7366" w:type="dxa"/>
          </w:tcPr>
          <w:p w14:paraId="48776DF1" w14:textId="77777777" w:rsidR="007A73F1" w:rsidRPr="007A73F1" w:rsidRDefault="007A73F1" w:rsidP="007A73F1">
            <w:pPr>
              <w:rPr>
                <w:rFonts w:cstheme="minorHAnsi"/>
                <w:sz w:val="24"/>
                <w:szCs w:val="24"/>
              </w:rPr>
            </w:pPr>
          </w:p>
        </w:tc>
        <w:tc>
          <w:tcPr>
            <w:tcW w:w="1650" w:type="dxa"/>
          </w:tcPr>
          <w:p w14:paraId="28C18F91" w14:textId="77777777" w:rsidR="007A73F1" w:rsidRPr="007A73F1" w:rsidRDefault="007A73F1" w:rsidP="007A73F1">
            <w:pPr>
              <w:jc w:val="center"/>
              <w:rPr>
                <w:rFonts w:cstheme="minorHAnsi"/>
                <w:sz w:val="24"/>
                <w:szCs w:val="24"/>
              </w:rPr>
            </w:pPr>
            <w:r w:rsidRPr="007A73F1">
              <w:rPr>
                <w:rFonts w:cstheme="minorHAnsi"/>
                <w:sz w:val="24"/>
                <w:szCs w:val="24"/>
              </w:rPr>
              <w:t>GBP</w:t>
            </w:r>
          </w:p>
        </w:tc>
      </w:tr>
      <w:tr w:rsidR="007A73F1" w:rsidRPr="007A73F1" w14:paraId="1D0A2B48" w14:textId="77777777" w:rsidTr="00D74D69">
        <w:tc>
          <w:tcPr>
            <w:tcW w:w="7366" w:type="dxa"/>
          </w:tcPr>
          <w:p w14:paraId="2EFE3298" w14:textId="77777777" w:rsidR="007A73F1" w:rsidRPr="007A73F1" w:rsidRDefault="007A73F1" w:rsidP="007A73F1">
            <w:pPr>
              <w:rPr>
                <w:rFonts w:cstheme="minorHAnsi"/>
                <w:sz w:val="24"/>
                <w:szCs w:val="24"/>
              </w:rPr>
            </w:pPr>
            <w:r w:rsidRPr="007A73F1">
              <w:rPr>
                <w:rFonts w:cstheme="minorHAnsi"/>
                <w:sz w:val="24"/>
                <w:szCs w:val="24"/>
              </w:rPr>
              <w:t>Opening cash</w:t>
            </w:r>
          </w:p>
        </w:tc>
        <w:tc>
          <w:tcPr>
            <w:tcW w:w="1650" w:type="dxa"/>
          </w:tcPr>
          <w:p w14:paraId="68E7BB52" w14:textId="77777777" w:rsidR="007A73F1" w:rsidRPr="007A73F1" w:rsidRDefault="007A73F1" w:rsidP="007A73F1">
            <w:pPr>
              <w:jc w:val="right"/>
              <w:rPr>
                <w:rFonts w:cstheme="minorHAnsi"/>
                <w:sz w:val="24"/>
                <w:szCs w:val="24"/>
              </w:rPr>
            </w:pPr>
            <w:r w:rsidRPr="007A73F1">
              <w:rPr>
                <w:rFonts w:cstheme="minorHAnsi"/>
                <w:sz w:val="24"/>
                <w:szCs w:val="24"/>
              </w:rPr>
              <w:t>8333</w:t>
            </w:r>
          </w:p>
        </w:tc>
      </w:tr>
      <w:tr w:rsidR="007A73F1" w:rsidRPr="007A73F1" w14:paraId="69B37374" w14:textId="77777777" w:rsidTr="00D74D69">
        <w:tc>
          <w:tcPr>
            <w:tcW w:w="7366" w:type="dxa"/>
          </w:tcPr>
          <w:p w14:paraId="2A2B319D" w14:textId="77777777" w:rsidR="007A73F1" w:rsidRPr="007A73F1" w:rsidRDefault="007A73F1" w:rsidP="007A73F1">
            <w:pPr>
              <w:rPr>
                <w:rFonts w:cstheme="minorHAnsi"/>
                <w:sz w:val="24"/>
                <w:szCs w:val="24"/>
              </w:rPr>
            </w:pPr>
            <w:r w:rsidRPr="007A73F1">
              <w:rPr>
                <w:rFonts w:cstheme="minorHAnsi"/>
                <w:sz w:val="24"/>
                <w:szCs w:val="24"/>
              </w:rPr>
              <w:t>Total receipts</w:t>
            </w:r>
          </w:p>
        </w:tc>
        <w:tc>
          <w:tcPr>
            <w:tcW w:w="1650" w:type="dxa"/>
          </w:tcPr>
          <w:p w14:paraId="561B2050" w14:textId="77777777" w:rsidR="007A73F1" w:rsidRPr="007A73F1" w:rsidRDefault="007A73F1" w:rsidP="007A73F1">
            <w:pPr>
              <w:jc w:val="right"/>
              <w:rPr>
                <w:rFonts w:cstheme="minorHAnsi"/>
                <w:sz w:val="24"/>
                <w:szCs w:val="24"/>
              </w:rPr>
            </w:pPr>
            <w:r w:rsidRPr="007A73F1">
              <w:rPr>
                <w:rFonts w:cstheme="minorHAnsi"/>
                <w:sz w:val="24"/>
                <w:szCs w:val="24"/>
              </w:rPr>
              <w:t xml:space="preserve">         19351</w:t>
            </w:r>
          </w:p>
        </w:tc>
      </w:tr>
      <w:tr w:rsidR="007A73F1" w:rsidRPr="007A73F1" w14:paraId="58419CC9" w14:textId="77777777" w:rsidTr="00D74D69">
        <w:tc>
          <w:tcPr>
            <w:tcW w:w="7366" w:type="dxa"/>
          </w:tcPr>
          <w:p w14:paraId="2461138A" w14:textId="77777777" w:rsidR="007A73F1" w:rsidRPr="007A73F1" w:rsidRDefault="007A73F1" w:rsidP="007A73F1">
            <w:pPr>
              <w:rPr>
                <w:rFonts w:cstheme="minorHAnsi"/>
                <w:sz w:val="24"/>
                <w:szCs w:val="24"/>
              </w:rPr>
            </w:pPr>
            <w:r w:rsidRPr="007A73F1">
              <w:rPr>
                <w:rFonts w:cstheme="minorHAnsi"/>
                <w:sz w:val="24"/>
                <w:szCs w:val="24"/>
              </w:rPr>
              <w:t xml:space="preserve">Total payments </w:t>
            </w:r>
          </w:p>
        </w:tc>
        <w:tc>
          <w:tcPr>
            <w:tcW w:w="1650" w:type="dxa"/>
          </w:tcPr>
          <w:p w14:paraId="3B376C46" w14:textId="77777777" w:rsidR="007A73F1" w:rsidRPr="007A73F1" w:rsidRDefault="007A73F1" w:rsidP="007A73F1">
            <w:pPr>
              <w:jc w:val="right"/>
              <w:rPr>
                <w:rFonts w:cstheme="minorHAnsi"/>
                <w:sz w:val="24"/>
                <w:szCs w:val="24"/>
              </w:rPr>
            </w:pPr>
            <w:r w:rsidRPr="007A73F1">
              <w:rPr>
                <w:rFonts w:cstheme="minorHAnsi"/>
                <w:sz w:val="24"/>
                <w:szCs w:val="24"/>
              </w:rPr>
              <w:t>19519</w:t>
            </w:r>
          </w:p>
        </w:tc>
      </w:tr>
      <w:tr w:rsidR="007A73F1" w:rsidRPr="007A73F1" w14:paraId="0B3DCDB4" w14:textId="77777777" w:rsidTr="00D74D69">
        <w:tc>
          <w:tcPr>
            <w:tcW w:w="7366" w:type="dxa"/>
          </w:tcPr>
          <w:p w14:paraId="68289F50" w14:textId="77777777" w:rsidR="007A73F1" w:rsidRPr="007A73F1" w:rsidRDefault="007A73F1" w:rsidP="007A73F1">
            <w:pPr>
              <w:rPr>
                <w:rFonts w:cstheme="minorHAnsi"/>
                <w:sz w:val="24"/>
                <w:szCs w:val="24"/>
              </w:rPr>
            </w:pPr>
            <w:r w:rsidRPr="007A73F1">
              <w:rPr>
                <w:rFonts w:cstheme="minorHAnsi"/>
                <w:sz w:val="24"/>
                <w:szCs w:val="24"/>
              </w:rPr>
              <w:t>Closing cash</w:t>
            </w:r>
          </w:p>
        </w:tc>
        <w:tc>
          <w:tcPr>
            <w:tcW w:w="1650" w:type="dxa"/>
          </w:tcPr>
          <w:p w14:paraId="7974A729" w14:textId="77777777" w:rsidR="007A73F1" w:rsidRPr="007A73F1" w:rsidRDefault="007A73F1" w:rsidP="007A73F1">
            <w:pPr>
              <w:jc w:val="right"/>
              <w:rPr>
                <w:rFonts w:cstheme="minorHAnsi"/>
                <w:sz w:val="24"/>
                <w:szCs w:val="24"/>
              </w:rPr>
            </w:pPr>
            <w:r w:rsidRPr="007A73F1">
              <w:rPr>
                <w:rFonts w:cstheme="minorHAnsi"/>
                <w:sz w:val="24"/>
                <w:szCs w:val="24"/>
              </w:rPr>
              <w:t>8165</w:t>
            </w:r>
          </w:p>
        </w:tc>
      </w:tr>
      <w:tr w:rsidR="007A73F1" w:rsidRPr="007A73F1" w14:paraId="0E4D377E" w14:textId="77777777" w:rsidTr="00D74D69">
        <w:tc>
          <w:tcPr>
            <w:tcW w:w="7366" w:type="dxa"/>
          </w:tcPr>
          <w:p w14:paraId="5D0924F7" w14:textId="77777777" w:rsidR="007A73F1" w:rsidRPr="007A73F1" w:rsidRDefault="007A73F1" w:rsidP="007A73F1">
            <w:pPr>
              <w:rPr>
                <w:rFonts w:cstheme="minorHAnsi"/>
                <w:sz w:val="24"/>
                <w:szCs w:val="24"/>
              </w:rPr>
            </w:pPr>
          </w:p>
        </w:tc>
        <w:tc>
          <w:tcPr>
            <w:tcW w:w="1650" w:type="dxa"/>
          </w:tcPr>
          <w:p w14:paraId="42DC08DF" w14:textId="77777777" w:rsidR="007A73F1" w:rsidRPr="007A73F1" w:rsidRDefault="007A73F1" w:rsidP="007A73F1">
            <w:pPr>
              <w:jc w:val="right"/>
              <w:rPr>
                <w:rFonts w:cstheme="minorHAnsi"/>
                <w:sz w:val="24"/>
                <w:szCs w:val="24"/>
              </w:rPr>
            </w:pPr>
          </w:p>
        </w:tc>
      </w:tr>
    </w:tbl>
    <w:p w14:paraId="4356A681" w14:textId="77777777" w:rsidR="007A73F1" w:rsidRPr="007A73F1" w:rsidRDefault="007A73F1" w:rsidP="007A73F1">
      <w:pPr>
        <w:spacing w:line="240" w:lineRule="auto"/>
        <w:rPr>
          <w:rFonts w:cstheme="minorHAnsi"/>
          <w:sz w:val="24"/>
          <w:szCs w:val="24"/>
        </w:rPr>
      </w:pPr>
    </w:p>
    <w:p w14:paraId="6E3E7282" w14:textId="77777777" w:rsidR="007A73F1" w:rsidRPr="007A73F1" w:rsidRDefault="007A73F1" w:rsidP="007A73F1">
      <w:pPr>
        <w:spacing w:line="240" w:lineRule="auto"/>
        <w:rPr>
          <w:rFonts w:cstheme="minorHAnsi"/>
          <w:sz w:val="24"/>
          <w:szCs w:val="24"/>
        </w:rPr>
      </w:pPr>
      <w:r w:rsidRPr="007A73F1">
        <w:rPr>
          <w:rFonts w:cstheme="minorHAnsi"/>
          <w:sz w:val="24"/>
          <w:szCs w:val="24"/>
        </w:rPr>
        <w:t>Payments include distributions of GBP 17275, comprising:</w:t>
      </w:r>
    </w:p>
    <w:tbl>
      <w:tblPr>
        <w:tblStyle w:val="TableGrid"/>
        <w:tblW w:w="0" w:type="auto"/>
        <w:tblLook w:val="04A0" w:firstRow="1" w:lastRow="0" w:firstColumn="1" w:lastColumn="0" w:noHBand="0" w:noVBand="1"/>
      </w:tblPr>
      <w:tblGrid>
        <w:gridCol w:w="7366"/>
        <w:gridCol w:w="1650"/>
      </w:tblGrid>
      <w:tr w:rsidR="007A73F1" w:rsidRPr="007A73F1" w14:paraId="46A96F5B" w14:textId="77777777" w:rsidTr="00D74D69">
        <w:tc>
          <w:tcPr>
            <w:tcW w:w="7366" w:type="dxa"/>
          </w:tcPr>
          <w:p w14:paraId="6CBBE8A6" w14:textId="77777777" w:rsidR="007A73F1" w:rsidRPr="007A73F1" w:rsidRDefault="007A73F1" w:rsidP="007A73F1">
            <w:pPr>
              <w:rPr>
                <w:rFonts w:cstheme="minorHAnsi"/>
                <w:b/>
                <w:sz w:val="24"/>
                <w:szCs w:val="24"/>
              </w:rPr>
            </w:pPr>
          </w:p>
        </w:tc>
        <w:tc>
          <w:tcPr>
            <w:tcW w:w="1650" w:type="dxa"/>
          </w:tcPr>
          <w:p w14:paraId="7FD91938" w14:textId="77777777" w:rsidR="007A73F1" w:rsidRPr="007A73F1" w:rsidRDefault="007A73F1" w:rsidP="007A73F1">
            <w:pPr>
              <w:jc w:val="center"/>
              <w:rPr>
                <w:rFonts w:cstheme="minorHAnsi"/>
                <w:sz w:val="24"/>
                <w:szCs w:val="24"/>
              </w:rPr>
            </w:pPr>
            <w:r w:rsidRPr="007A73F1">
              <w:rPr>
                <w:rFonts w:cstheme="minorHAnsi"/>
                <w:sz w:val="24"/>
                <w:szCs w:val="24"/>
              </w:rPr>
              <w:t>GBP</w:t>
            </w:r>
          </w:p>
        </w:tc>
      </w:tr>
      <w:tr w:rsidR="007A73F1" w:rsidRPr="007A73F1" w14:paraId="0A91C9CD" w14:textId="77777777" w:rsidTr="00D74D69">
        <w:tc>
          <w:tcPr>
            <w:tcW w:w="7366" w:type="dxa"/>
          </w:tcPr>
          <w:p w14:paraId="6D21D331" w14:textId="77777777" w:rsidR="007A73F1" w:rsidRPr="007A73F1" w:rsidRDefault="007A73F1" w:rsidP="007A73F1">
            <w:pPr>
              <w:rPr>
                <w:rFonts w:cstheme="minorHAnsi"/>
                <w:sz w:val="24"/>
                <w:szCs w:val="24"/>
              </w:rPr>
            </w:pPr>
            <w:r w:rsidRPr="007A73F1">
              <w:rPr>
                <w:rFonts w:cstheme="minorHAnsi"/>
                <w:sz w:val="24"/>
                <w:szCs w:val="24"/>
              </w:rPr>
              <w:t>Playground equipment, interim payments</w:t>
            </w:r>
          </w:p>
        </w:tc>
        <w:tc>
          <w:tcPr>
            <w:tcW w:w="1650" w:type="dxa"/>
          </w:tcPr>
          <w:p w14:paraId="45AFF689" w14:textId="77777777" w:rsidR="007A73F1" w:rsidRPr="007A73F1" w:rsidRDefault="007A73F1" w:rsidP="007A73F1">
            <w:pPr>
              <w:jc w:val="right"/>
              <w:rPr>
                <w:rFonts w:cstheme="minorHAnsi"/>
                <w:sz w:val="24"/>
                <w:szCs w:val="24"/>
              </w:rPr>
            </w:pPr>
            <w:r w:rsidRPr="007A73F1">
              <w:rPr>
                <w:rFonts w:cstheme="minorHAnsi"/>
                <w:sz w:val="24"/>
                <w:szCs w:val="24"/>
              </w:rPr>
              <w:t>14620</w:t>
            </w:r>
          </w:p>
        </w:tc>
      </w:tr>
      <w:tr w:rsidR="007A73F1" w:rsidRPr="007A73F1" w14:paraId="66D67539" w14:textId="77777777" w:rsidTr="00D74D69">
        <w:tc>
          <w:tcPr>
            <w:tcW w:w="7366" w:type="dxa"/>
          </w:tcPr>
          <w:p w14:paraId="15F783C2" w14:textId="77777777" w:rsidR="007A73F1" w:rsidRPr="007A73F1" w:rsidRDefault="007A73F1" w:rsidP="007A73F1">
            <w:pPr>
              <w:rPr>
                <w:rFonts w:cstheme="minorHAnsi"/>
                <w:sz w:val="24"/>
                <w:szCs w:val="24"/>
              </w:rPr>
            </w:pPr>
            <w:r w:rsidRPr="007A73F1">
              <w:rPr>
                <w:rFonts w:cstheme="minorHAnsi"/>
                <w:sz w:val="24"/>
                <w:szCs w:val="24"/>
              </w:rPr>
              <w:t>Playground stage</w:t>
            </w:r>
          </w:p>
        </w:tc>
        <w:tc>
          <w:tcPr>
            <w:tcW w:w="1650" w:type="dxa"/>
          </w:tcPr>
          <w:p w14:paraId="53866B7D" w14:textId="77777777" w:rsidR="007A73F1" w:rsidRPr="007A73F1" w:rsidRDefault="007A73F1" w:rsidP="007A73F1">
            <w:pPr>
              <w:jc w:val="right"/>
              <w:rPr>
                <w:rFonts w:cstheme="minorHAnsi"/>
                <w:sz w:val="24"/>
                <w:szCs w:val="24"/>
              </w:rPr>
            </w:pPr>
            <w:r w:rsidRPr="007A73F1">
              <w:rPr>
                <w:rFonts w:cstheme="minorHAnsi"/>
                <w:sz w:val="24"/>
                <w:szCs w:val="24"/>
              </w:rPr>
              <w:t>1739</w:t>
            </w:r>
          </w:p>
        </w:tc>
      </w:tr>
      <w:tr w:rsidR="007A73F1" w:rsidRPr="007A73F1" w14:paraId="5ECF937C" w14:textId="77777777" w:rsidTr="00D74D69">
        <w:tc>
          <w:tcPr>
            <w:tcW w:w="7366" w:type="dxa"/>
          </w:tcPr>
          <w:p w14:paraId="4C5BEB3D" w14:textId="77777777" w:rsidR="007A73F1" w:rsidRPr="007A73F1" w:rsidRDefault="007A73F1" w:rsidP="007A73F1">
            <w:pPr>
              <w:rPr>
                <w:rFonts w:cstheme="minorHAnsi"/>
                <w:sz w:val="24"/>
                <w:szCs w:val="24"/>
              </w:rPr>
            </w:pPr>
            <w:r w:rsidRPr="007A73F1">
              <w:rPr>
                <w:rFonts w:cstheme="minorHAnsi"/>
                <w:sz w:val="24"/>
                <w:szCs w:val="24"/>
              </w:rPr>
              <w:lastRenderedPageBreak/>
              <w:t>Review and repair of pond</w:t>
            </w:r>
          </w:p>
        </w:tc>
        <w:tc>
          <w:tcPr>
            <w:tcW w:w="1650" w:type="dxa"/>
          </w:tcPr>
          <w:p w14:paraId="7D5C73B3" w14:textId="77777777" w:rsidR="007A73F1" w:rsidRPr="007A73F1" w:rsidRDefault="007A73F1" w:rsidP="007A73F1">
            <w:pPr>
              <w:jc w:val="right"/>
              <w:rPr>
                <w:rFonts w:cstheme="minorHAnsi"/>
                <w:sz w:val="24"/>
                <w:szCs w:val="24"/>
              </w:rPr>
            </w:pPr>
            <w:r w:rsidRPr="007A73F1">
              <w:rPr>
                <w:rFonts w:cstheme="minorHAnsi"/>
                <w:sz w:val="24"/>
                <w:szCs w:val="24"/>
              </w:rPr>
              <w:t>250</w:t>
            </w:r>
          </w:p>
        </w:tc>
      </w:tr>
      <w:tr w:rsidR="007A73F1" w:rsidRPr="007A73F1" w14:paraId="08CC8E66" w14:textId="77777777" w:rsidTr="00D74D69">
        <w:tc>
          <w:tcPr>
            <w:tcW w:w="7366" w:type="dxa"/>
          </w:tcPr>
          <w:p w14:paraId="5C59E6D1" w14:textId="77777777" w:rsidR="007A73F1" w:rsidRPr="007A73F1" w:rsidRDefault="007A73F1" w:rsidP="007A73F1">
            <w:pPr>
              <w:rPr>
                <w:rFonts w:cstheme="minorHAnsi"/>
                <w:sz w:val="24"/>
                <w:szCs w:val="24"/>
              </w:rPr>
            </w:pPr>
            <w:r w:rsidRPr="007A73F1">
              <w:rPr>
                <w:rFonts w:cstheme="minorHAnsi"/>
                <w:sz w:val="24"/>
                <w:szCs w:val="24"/>
              </w:rPr>
              <w:t>Christmas crafts, 2019</w:t>
            </w:r>
          </w:p>
        </w:tc>
        <w:tc>
          <w:tcPr>
            <w:tcW w:w="1650" w:type="dxa"/>
          </w:tcPr>
          <w:p w14:paraId="7FF8D9E8" w14:textId="77777777" w:rsidR="007A73F1" w:rsidRPr="007A73F1" w:rsidRDefault="007A73F1" w:rsidP="007A73F1">
            <w:pPr>
              <w:jc w:val="right"/>
              <w:rPr>
                <w:rFonts w:cstheme="minorHAnsi"/>
                <w:sz w:val="24"/>
                <w:szCs w:val="24"/>
              </w:rPr>
            </w:pPr>
            <w:r w:rsidRPr="007A73F1">
              <w:rPr>
                <w:rFonts w:cstheme="minorHAnsi"/>
                <w:sz w:val="24"/>
                <w:szCs w:val="24"/>
              </w:rPr>
              <w:t>204</w:t>
            </w:r>
          </w:p>
        </w:tc>
      </w:tr>
      <w:tr w:rsidR="007A73F1" w:rsidRPr="007A73F1" w14:paraId="317126E8" w14:textId="77777777" w:rsidTr="00D74D69">
        <w:tc>
          <w:tcPr>
            <w:tcW w:w="7366" w:type="dxa"/>
          </w:tcPr>
          <w:p w14:paraId="2A7F8EEF" w14:textId="77777777" w:rsidR="007A73F1" w:rsidRPr="007A73F1" w:rsidRDefault="007A73F1" w:rsidP="007A73F1">
            <w:pPr>
              <w:rPr>
                <w:rFonts w:cstheme="minorHAnsi"/>
                <w:sz w:val="24"/>
                <w:szCs w:val="24"/>
              </w:rPr>
            </w:pPr>
            <w:r w:rsidRPr="007A73F1">
              <w:rPr>
                <w:rFonts w:cstheme="minorHAnsi"/>
                <w:sz w:val="24"/>
                <w:szCs w:val="24"/>
              </w:rPr>
              <w:t>Christmas crafts, 2020</w:t>
            </w:r>
          </w:p>
        </w:tc>
        <w:tc>
          <w:tcPr>
            <w:tcW w:w="1650" w:type="dxa"/>
          </w:tcPr>
          <w:p w14:paraId="7A9B4348" w14:textId="77777777" w:rsidR="007A73F1" w:rsidRPr="007A73F1" w:rsidRDefault="007A73F1" w:rsidP="007A73F1">
            <w:pPr>
              <w:jc w:val="right"/>
              <w:rPr>
                <w:rFonts w:cstheme="minorHAnsi"/>
                <w:sz w:val="24"/>
                <w:szCs w:val="24"/>
              </w:rPr>
            </w:pPr>
            <w:r w:rsidRPr="007A73F1">
              <w:rPr>
                <w:rFonts w:cstheme="minorHAnsi"/>
                <w:sz w:val="24"/>
                <w:szCs w:val="24"/>
              </w:rPr>
              <w:t>168</w:t>
            </w:r>
          </w:p>
        </w:tc>
      </w:tr>
      <w:tr w:rsidR="007A73F1" w:rsidRPr="007A73F1" w14:paraId="609C5B4A" w14:textId="77777777" w:rsidTr="00D74D69">
        <w:tc>
          <w:tcPr>
            <w:tcW w:w="7366" w:type="dxa"/>
          </w:tcPr>
          <w:p w14:paraId="5CEE4E99" w14:textId="77777777" w:rsidR="007A73F1" w:rsidRPr="007A73F1" w:rsidRDefault="007A73F1" w:rsidP="007A73F1">
            <w:pPr>
              <w:rPr>
                <w:rFonts w:cstheme="minorHAnsi"/>
                <w:sz w:val="24"/>
                <w:szCs w:val="24"/>
              </w:rPr>
            </w:pPr>
            <w:r w:rsidRPr="007A73F1">
              <w:rPr>
                <w:rFonts w:cstheme="minorHAnsi"/>
                <w:sz w:val="24"/>
                <w:szCs w:val="24"/>
              </w:rPr>
              <w:t>Christmas books, 2019 and 2020</w:t>
            </w:r>
          </w:p>
        </w:tc>
        <w:tc>
          <w:tcPr>
            <w:tcW w:w="1650" w:type="dxa"/>
          </w:tcPr>
          <w:p w14:paraId="3D4A25E3" w14:textId="77777777" w:rsidR="007A73F1" w:rsidRPr="007A73F1" w:rsidRDefault="007A73F1" w:rsidP="007A73F1">
            <w:pPr>
              <w:jc w:val="right"/>
              <w:rPr>
                <w:rFonts w:cstheme="minorHAnsi"/>
                <w:sz w:val="24"/>
                <w:szCs w:val="24"/>
              </w:rPr>
            </w:pPr>
            <w:r w:rsidRPr="007A73F1">
              <w:rPr>
                <w:rFonts w:cstheme="minorHAnsi"/>
                <w:sz w:val="24"/>
                <w:szCs w:val="24"/>
              </w:rPr>
              <w:t>116</w:t>
            </w:r>
          </w:p>
        </w:tc>
      </w:tr>
      <w:tr w:rsidR="007A73F1" w:rsidRPr="007A73F1" w14:paraId="6C2BD890" w14:textId="77777777" w:rsidTr="00D74D69">
        <w:tc>
          <w:tcPr>
            <w:tcW w:w="7366" w:type="dxa"/>
          </w:tcPr>
          <w:p w14:paraId="69672050" w14:textId="77777777" w:rsidR="007A73F1" w:rsidRPr="007A73F1" w:rsidRDefault="007A73F1" w:rsidP="007A73F1">
            <w:pPr>
              <w:rPr>
                <w:rFonts w:cstheme="minorHAnsi"/>
                <w:sz w:val="24"/>
                <w:szCs w:val="24"/>
              </w:rPr>
            </w:pPr>
            <w:r w:rsidRPr="007A73F1">
              <w:rPr>
                <w:rFonts w:cstheme="minorHAnsi"/>
                <w:sz w:val="24"/>
                <w:szCs w:val="24"/>
              </w:rPr>
              <w:t>Year 6 yearbooks</w:t>
            </w:r>
          </w:p>
        </w:tc>
        <w:tc>
          <w:tcPr>
            <w:tcW w:w="1650" w:type="dxa"/>
          </w:tcPr>
          <w:p w14:paraId="344F95A0" w14:textId="77777777" w:rsidR="007A73F1" w:rsidRPr="007A73F1" w:rsidRDefault="007A73F1" w:rsidP="007A73F1">
            <w:pPr>
              <w:jc w:val="right"/>
              <w:rPr>
                <w:rFonts w:cstheme="minorHAnsi"/>
                <w:sz w:val="24"/>
                <w:szCs w:val="24"/>
              </w:rPr>
            </w:pPr>
            <w:r w:rsidRPr="007A73F1">
              <w:rPr>
                <w:rFonts w:cstheme="minorHAnsi"/>
                <w:sz w:val="24"/>
                <w:szCs w:val="24"/>
              </w:rPr>
              <w:t>95</w:t>
            </w:r>
          </w:p>
        </w:tc>
      </w:tr>
      <w:tr w:rsidR="007A73F1" w:rsidRPr="007A73F1" w14:paraId="64071F72" w14:textId="77777777" w:rsidTr="00D74D69">
        <w:tc>
          <w:tcPr>
            <w:tcW w:w="7366" w:type="dxa"/>
          </w:tcPr>
          <w:p w14:paraId="69200A6A" w14:textId="77777777" w:rsidR="007A73F1" w:rsidRPr="007A73F1" w:rsidRDefault="007A73F1" w:rsidP="007A73F1">
            <w:pPr>
              <w:rPr>
                <w:rFonts w:cstheme="minorHAnsi"/>
                <w:sz w:val="24"/>
                <w:szCs w:val="24"/>
              </w:rPr>
            </w:pPr>
            <w:r w:rsidRPr="007A73F1">
              <w:rPr>
                <w:rFonts w:cstheme="minorHAnsi"/>
                <w:sz w:val="24"/>
                <w:szCs w:val="24"/>
              </w:rPr>
              <w:t>Phonics aids (accelerated reading)</w:t>
            </w:r>
          </w:p>
        </w:tc>
        <w:tc>
          <w:tcPr>
            <w:tcW w:w="1650" w:type="dxa"/>
          </w:tcPr>
          <w:p w14:paraId="0D3C7953" w14:textId="77777777" w:rsidR="007A73F1" w:rsidRPr="007A73F1" w:rsidRDefault="007A73F1" w:rsidP="007A73F1">
            <w:pPr>
              <w:jc w:val="right"/>
              <w:rPr>
                <w:rFonts w:cstheme="minorHAnsi"/>
                <w:sz w:val="24"/>
                <w:szCs w:val="24"/>
              </w:rPr>
            </w:pPr>
            <w:r w:rsidRPr="007A73F1">
              <w:rPr>
                <w:rFonts w:cstheme="minorHAnsi"/>
                <w:sz w:val="24"/>
                <w:szCs w:val="24"/>
              </w:rPr>
              <w:t>61</w:t>
            </w:r>
          </w:p>
        </w:tc>
      </w:tr>
      <w:tr w:rsidR="007A73F1" w:rsidRPr="007A73F1" w14:paraId="5A620132" w14:textId="77777777" w:rsidTr="00D74D69">
        <w:tc>
          <w:tcPr>
            <w:tcW w:w="7366" w:type="dxa"/>
          </w:tcPr>
          <w:p w14:paraId="004E3E65" w14:textId="77777777" w:rsidR="007A73F1" w:rsidRPr="007A73F1" w:rsidRDefault="007A73F1" w:rsidP="007A73F1">
            <w:pPr>
              <w:rPr>
                <w:rFonts w:cstheme="minorHAnsi"/>
                <w:sz w:val="24"/>
                <w:szCs w:val="24"/>
              </w:rPr>
            </w:pPr>
            <w:r w:rsidRPr="007A73F1">
              <w:rPr>
                <w:rFonts w:cstheme="minorHAnsi"/>
                <w:sz w:val="24"/>
                <w:szCs w:val="24"/>
              </w:rPr>
              <w:t>Easter eggs</w:t>
            </w:r>
          </w:p>
        </w:tc>
        <w:tc>
          <w:tcPr>
            <w:tcW w:w="1650" w:type="dxa"/>
          </w:tcPr>
          <w:p w14:paraId="54BC6455" w14:textId="77777777" w:rsidR="007A73F1" w:rsidRPr="007A73F1" w:rsidRDefault="007A73F1" w:rsidP="007A73F1">
            <w:pPr>
              <w:jc w:val="right"/>
              <w:rPr>
                <w:rFonts w:cstheme="minorHAnsi"/>
                <w:sz w:val="24"/>
                <w:szCs w:val="24"/>
              </w:rPr>
            </w:pPr>
            <w:r w:rsidRPr="007A73F1">
              <w:rPr>
                <w:rFonts w:cstheme="minorHAnsi"/>
                <w:sz w:val="24"/>
                <w:szCs w:val="24"/>
              </w:rPr>
              <w:t>23</w:t>
            </w:r>
          </w:p>
        </w:tc>
      </w:tr>
      <w:tr w:rsidR="007A73F1" w:rsidRPr="007A73F1" w14:paraId="415BF91B" w14:textId="77777777" w:rsidTr="00D74D69">
        <w:tc>
          <w:tcPr>
            <w:tcW w:w="7366" w:type="dxa"/>
          </w:tcPr>
          <w:p w14:paraId="7CD4CE1A" w14:textId="77777777" w:rsidR="007A73F1" w:rsidRPr="007A73F1" w:rsidRDefault="007A73F1" w:rsidP="007A73F1">
            <w:pPr>
              <w:rPr>
                <w:rFonts w:cstheme="minorHAnsi"/>
                <w:sz w:val="24"/>
                <w:szCs w:val="24"/>
              </w:rPr>
            </w:pPr>
          </w:p>
        </w:tc>
        <w:tc>
          <w:tcPr>
            <w:tcW w:w="1650" w:type="dxa"/>
          </w:tcPr>
          <w:p w14:paraId="0AF3ADB7" w14:textId="77777777" w:rsidR="007A73F1" w:rsidRPr="007A73F1" w:rsidRDefault="007A73F1" w:rsidP="007A73F1">
            <w:pPr>
              <w:jc w:val="right"/>
              <w:rPr>
                <w:rFonts w:cstheme="minorHAnsi"/>
                <w:sz w:val="24"/>
                <w:szCs w:val="24"/>
              </w:rPr>
            </w:pPr>
          </w:p>
        </w:tc>
      </w:tr>
      <w:tr w:rsidR="007A73F1" w:rsidRPr="007A73F1" w14:paraId="2C0020CB" w14:textId="77777777" w:rsidTr="00D74D69">
        <w:tc>
          <w:tcPr>
            <w:tcW w:w="7366" w:type="dxa"/>
          </w:tcPr>
          <w:p w14:paraId="0070606C" w14:textId="77777777" w:rsidR="007A73F1" w:rsidRPr="007A73F1" w:rsidRDefault="007A73F1" w:rsidP="007A73F1">
            <w:pPr>
              <w:rPr>
                <w:rFonts w:cstheme="minorHAnsi"/>
                <w:sz w:val="24"/>
                <w:szCs w:val="24"/>
              </w:rPr>
            </w:pPr>
          </w:p>
        </w:tc>
        <w:tc>
          <w:tcPr>
            <w:tcW w:w="1650" w:type="dxa"/>
          </w:tcPr>
          <w:p w14:paraId="722FBA04" w14:textId="77777777" w:rsidR="007A73F1" w:rsidRPr="007A73F1" w:rsidRDefault="007A73F1" w:rsidP="007A73F1">
            <w:pPr>
              <w:jc w:val="right"/>
              <w:rPr>
                <w:rFonts w:cstheme="minorHAnsi"/>
                <w:sz w:val="24"/>
                <w:szCs w:val="24"/>
              </w:rPr>
            </w:pPr>
          </w:p>
        </w:tc>
      </w:tr>
    </w:tbl>
    <w:p w14:paraId="1BF6DBFF" w14:textId="77777777" w:rsidR="007A73F1" w:rsidRPr="007A73F1" w:rsidRDefault="007A73F1" w:rsidP="007A73F1">
      <w:pPr>
        <w:spacing w:line="240" w:lineRule="auto"/>
        <w:rPr>
          <w:rFonts w:cstheme="minorHAnsi"/>
          <w:sz w:val="24"/>
          <w:szCs w:val="24"/>
        </w:rPr>
      </w:pPr>
    </w:p>
    <w:p w14:paraId="68628DB7" w14:textId="77777777" w:rsidR="007A73F1" w:rsidRPr="007A73F1" w:rsidRDefault="007A73F1" w:rsidP="007A73F1">
      <w:pPr>
        <w:spacing w:line="240" w:lineRule="auto"/>
        <w:rPr>
          <w:rFonts w:cstheme="minorHAnsi"/>
          <w:sz w:val="24"/>
          <w:szCs w:val="24"/>
        </w:rPr>
      </w:pPr>
      <w:r w:rsidRPr="007A73F1">
        <w:rPr>
          <w:rFonts w:cstheme="minorHAnsi"/>
          <w:sz w:val="24"/>
          <w:szCs w:val="24"/>
        </w:rPr>
        <w:t xml:space="preserve">At the year-end our cash on hand, excluding petty cash and uniform floats, amounted to 8165. This included funds held for designated purposes </w:t>
      </w:r>
      <w:proofErr w:type="spellStart"/>
      <w:r w:rsidRPr="007A73F1">
        <w:rPr>
          <w:rFonts w:cstheme="minorHAnsi"/>
          <w:sz w:val="24"/>
          <w:szCs w:val="24"/>
        </w:rPr>
        <w:t>totalling</w:t>
      </w:r>
      <w:proofErr w:type="spellEnd"/>
      <w:r w:rsidRPr="007A73F1">
        <w:rPr>
          <w:rFonts w:cstheme="minorHAnsi"/>
          <w:sz w:val="24"/>
          <w:szCs w:val="24"/>
        </w:rPr>
        <w:t xml:space="preserve"> 5362 (library books and accelerated reading scheme 339 and playground equipment 5023), leaving ‘free’ cash of 2803. </w:t>
      </w:r>
    </w:p>
    <w:p w14:paraId="27E39BA5" w14:textId="77777777" w:rsidR="007A73F1" w:rsidRPr="007A73F1" w:rsidRDefault="007A73F1" w:rsidP="007A73F1">
      <w:pPr>
        <w:spacing w:line="240" w:lineRule="auto"/>
        <w:rPr>
          <w:rFonts w:cstheme="minorHAnsi"/>
          <w:sz w:val="24"/>
          <w:szCs w:val="24"/>
        </w:rPr>
      </w:pPr>
      <w:r w:rsidRPr="007A73F1">
        <w:rPr>
          <w:rFonts w:cstheme="minorHAnsi"/>
          <w:sz w:val="24"/>
          <w:szCs w:val="24"/>
        </w:rPr>
        <w:t xml:space="preserve">It was a strange year with most of our usual fundraising activities curtailed by Covid. Nonetheless we had a remarkably successful year in raising funds for the playground equipment and in completing the new outdoor stage. Just how different a year it was can be seen from a comparison of the more detailed figures with those for 2018/19, which I have also attached. </w:t>
      </w:r>
    </w:p>
    <w:p w14:paraId="61D6CD93" w14:textId="77777777" w:rsidR="007A73F1" w:rsidRPr="007A73F1" w:rsidRDefault="007A73F1" w:rsidP="007A73F1">
      <w:pPr>
        <w:spacing w:line="240" w:lineRule="auto"/>
        <w:rPr>
          <w:rFonts w:cstheme="minorHAnsi"/>
          <w:sz w:val="24"/>
          <w:szCs w:val="24"/>
        </w:rPr>
      </w:pPr>
      <w:r w:rsidRPr="007A73F1">
        <w:rPr>
          <w:rFonts w:cstheme="minorHAnsi"/>
          <w:sz w:val="24"/>
          <w:szCs w:val="24"/>
        </w:rPr>
        <w:t>During the year we raised 15092 towards the playground equipment fund, and many thanks are due to Louise Lethbridge who was instrumental in securing a number of significant grants or donations (as well as being the driving force behind the selection of equipment and liaison with the suppliers/installers). Added to these funds were 1320 raised in 2018/19 (remember our quiz, when we were able to meet in a pub), 2250 which we agreed early on to allocate from General Funds, 681 transferred from the Early Learning Space fund with the agreement of the donor, and 300 from new sales of 100 Club annual memberships, making 19643 (hugely in excess of the 10000 which was our original target). The expected final cost of supply and installation is 18199 (including matting) leaving 1444 towards the cost of the steps from the main playground to the play equipment area.</w:t>
      </w:r>
    </w:p>
    <w:p w14:paraId="089968EE" w14:textId="77777777" w:rsidR="007A73F1" w:rsidRPr="007A73F1" w:rsidRDefault="007A73F1" w:rsidP="007A73F1">
      <w:pPr>
        <w:spacing w:line="240" w:lineRule="auto"/>
        <w:rPr>
          <w:rFonts w:cstheme="minorHAnsi"/>
          <w:sz w:val="24"/>
          <w:szCs w:val="24"/>
        </w:rPr>
      </w:pPr>
      <w:r w:rsidRPr="007A73F1">
        <w:rPr>
          <w:rFonts w:cstheme="minorHAnsi"/>
          <w:sz w:val="24"/>
          <w:szCs w:val="24"/>
        </w:rPr>
        <w:t xml:space="preserve">The cost of the outdoor staging area was 1739, of which 500 represented a grant of 500 with 1239 coming from General Funds. Thanks to the Woodley family for the </w:t>
      </w:r>
      <w:proofErr w:type="spellStart"/>
      <w:r w:rsidRPr="007A73F1">
        <w:rPr>
          <w:rFonts w:cstheme="minorHAnsi"/>
          <w:sz w:val="24"/>
          <w:szCs w:val="24"/>
        </w:rPr>
        <w:t>organisation</w:t>
      </w:r>
      <w:proofErr w:type="spellEnd"/>
      <w:r w:rsidRPr="007A73F1">
        <w:rPr>
          <w:rFonts w:cstheme="minorHAnsi"/>
          <w:sz w:val="24"/>
          <w:szCs w:val="24"/>
        </w:rPr>
        <w:t xml:space="preserve"> and the donation of </w:t>
      </w:r>
      <w:proofErr w:type="spellStart"/>
      <w:r w:rsidRPr="007A73F1">
        <w:rPr>
          <w:rFonts w:cstheme="minorHAnsi"/>
          <w:sz w:val="24"/>
          <w:szCs w:val="24"/>
        </w:rPr>
        <w:t>labour</w:t>
      </w:r>
      <w:proofErr w:type="spellEnd"/>
      <w:r w:rsidRPr="007A73F1">
        <w:rPr>
          <w:rFonts w:cstheme="minorHAnsi"/>
          <w:sz w:val="24"/>
          <w:szCs w:val="24"/>
        </w:rPr>
        <w:t>.</w:t>
      </w:r>
    </w:p>
    <w:p w14:paraId="005B34DA" w14:textId="77777777" w:rsidR="007A73F1" w:rsidRPr="007A73F1" w:rsidRDefault="007A73F1" w:rsidP="007A73F1">
      <w:pPr>
        <w:spacing w:line="240" w:lineRule="auto"/>
        <w:rPr>
          <w:rFonts w:cstheme="minorHAnsi"/>
          <w:sz w:val="24"/>
          <w:szCs w:val="24"/>
        </w:rPr>
      </w:pPr>
      <w:r w:rsidRPr="007A73F1">
        <w:rPr>
          <w:rFonts w:cstheme="minorHAnsi"/>
          <w:sz w:val="24"/>
          <w:szCs w:val="24"/>
        </w:rPr>
        <w:t>At 31 January 2021 our cash on hand amounted to 8510. This again included funds held for designated purposes of 5362, as above. Net liabilities (principally for unpaid 100 Club prizes) amounted to approximately 70, leaving ‘free’ cash of the order of 3078.</w:t>
      </w:r>
    </w:p>
    <w:p w14:paraId="0CFDAD28" w14:textId="46074020" w:rsidR="007A73F1" w:rsidRPr="007A73F1" w:rsidRDefault="007A73F1" w:rsidP="007A73F1">
      <w:pPr>
        <w:spacing w:line="240" w:lineRule="auto"/>
        <w:rPr>
          <w:sz w:val="28"/>
          <w:szCs w:val="28"/>
        </w:rPr>
      </w:pPr>
      <w:r w:rsidRPr="007A73F1">
        <w:rPr>
          <w:rFonts w:cstheme="minorHAnsi"/>
          <w:sz w:val="24"/>
          <w:szCs w:val="24"/>
        </w:rPr>
        <w:t>Our funds are low in comparison to where we have been in recent years, but we have achieved a great deal. However, the 100 Club position (with 49 subscribed balls now, compared to only 31 in June 2020) is relatively healthy, generating almost 160 monthly now.</w:t>
      </w:r>
    </w:p>
    <w:p w14:paraId="41A07E54" w14:textId="15B1FA99" w:rsidR="00D721FB" w:rsidRDefault="00446CF5" w:rsidP="00F526B2">
      <w:pPr>
        <w:pStyle w:val="ListParagraph"/>
        <w:numPr>
          <w:ilvl w:val="0"/>
          <w:numId w:val="2"/>
        </w:numPr>
        <w:spacing w:after="0" w:line="480" w:lineRule="auto"/>
        <w:rPr>
          <w:rFonts w:eastAsiaTheme="minorEastAsia"/>
          <w:sz w:val="28"/>
          <w:szCs w:val="28"/>
        </w:rPr>
      </w:pPr>
      <w:r>
        <w:rPr>
          <w:rFonts w:eastAsiaTheme="minorEastAsia"/>
          <w:sz w:val="28"/>
          <w:szCs w:val="28"/>
        </w:rPr>
        <w:t>Election of new committee</w:t>
      </w:r>
      <w:r w:rsidR="00F526B2">
        <w:rPr>
          <w:rFonts w:eastAsiaTheme="minorEastAsia"/>
          <w:sz w:val="28"/>
          <w:szCs w:val="28"/>
        </w:rPr>
        <w:t>:</w:t>
      </w:r>
    </w:p>
    <w:p w14:paraId="67E76A37" w14:textId="4DCB10F4" w:rsidR="00F526B2" w:rsidRPr="00F526B2" w:rsidRDefault="00F526B2" w:rsidP="00F526B2">
      <w:pPr>
        <w:spacing w:line="240" w:lineRule="auto"/>
        <w:rPr>
          <w:rFonts w:eastAsiaTheme="minorEastAsia"/>
          <w:sz w:val="24"/>
          <w:szCs w:val="24"/>
        </w:rPr>
      </w:pPr>
      <w:r>
        <w:rPr>
          <w:rFonts w:eastAsiaTheme="minorEastAsia"/>
          <w:sz w:val="24"/>
          <w:szCs w:val="24"/>
        </w:rPr>
        <w:lastRenderedPageBreak/>
        <w:t xml:space="preserve">We all collectively stood down and offered up our services for another year. </w:t>
      </w:r>
      <w:r w:rsidR="005E4F50">
        <w:rPr>
          <w:rFonts w:eastAsiaTheme="minorEastAsia"/>
          <w:sz w:val="24"/>
          <w:szCs w:val="24"/>
        </w:rPr>
        <w:t xml:space="preserve">With a short vote this was agreed. </w:t>
      </w:r>
      <w:r>
        <w:rPr>
          <w:rFonts w:eastAsiaTheme="minorEastAsia"/>
          <w:sz w:val="24"/>
          <w:szCs w:val="24"/>
        </w:rPr>
        <w:t>We retain our roles from the previous year but it was decided that Elle would become “Deputy Chair” in recognition of all her hard work and invested time to date. This will ease the pressure on the Chair and allow a smoother running of FODS.</w:t>
      </w:r>
      <w:r w:rsidR="005E4F50">
        <w:rPr>
          <w:rFonts w:eastAsiaTheme="minorEastAsia"/>
          <w:sz w:val="24"/>
          <w:szCs w:val="24"/>
        </w:rPr>
        <w:t xml:space="preserve"> Roger is happy to remain as Treasurer this year with us actively looking for someone to shadow him and take over at the next AGM.</w:t>
      </w:r>
    </w:p>
    <w:p w14:paraId="1E99594F" w14:textId="77777777" w:rsidR="00D721FB" w:rsidRPr="00D721FB" w:rsidRDefault="00D721FB" w:rsidP="00D721FB">
      <w:pPr>
        <w:pStyle w:val="ListParagraph"/>
        <w:numPr>
          <w:ilvl w:val="0"/>
          <w:numId w:val="2"/>
        </w:numPr>
        <w:spacing w:before="240" w:line="240" w:lineRule="auto"/>
        <w:rPr>
          <w:rFonts w:eastAsiaTheme="minorEastAsia"/>
          <w:sz w:val="28"/>
          <w:szCs w:val="28"/>
        </w:rPr>
      </w:pPr>
      <w:r w:rsidRPr="00D721FB">
        <w:rPr>
          <w:rFonts w:cstheme="minorHAnsi"/>
          <w:color w:val="222222"/>
          <w:sz w:val="28"/>
          <w:szCs w:val="28"/>
        </w:rPr>
        <w:t>A.O.B:</w:t>
      </w:r>
    </w:p>
    <w:p w14:paraId="664EC4C2" w14:textId="4FE1A590" w:rsidR="00D721FB" w:rsidRPr="00D721FB" w:rsidRDefault="00D721FB" w:rsidP="00D721FB">
      <w:pPr>
        <w:spacing w:line="240" w:lineRule="auto"/>
        <w:rPr>
          <w:rFonts w:eastAsiaTheme="minorEastAsia"/>
          <w:sz w:val="24"/>
          <w:szCs w:val="24"/>
        </w:rPr>
      </w:pPr>
      <w:r w:rsidRPr="00D721FB">
        <w:rPr>
          <w:rFonts w:cstheme="minorHAnsi"/>
          <w:color w:val="222222"/>
          <w:sz w:val="24"/>
          <w:szCs w:val="24"/>
        </w:rPr>
        <w:t xml:space="preserve">We are always looking for more parent helpers and fresh ideas, if you could spare some time to help with FODS please let us know, everyone is welcome! </w:t>
      </w:r>
    </w:p>
    <w:p w14:paraId="10712876" w14:textId="5FF56819" w:rsidR="2C9EB071" w:rsidRPr="00D721FB" w:rsidRDefault="00D721FB" w:rsidP="00D721FB">
      <w:pPr>
        <w:pStyle w:val="NormalWeb"/>
        <w:shd w:val="clear" w:color="auto" w:fill="FFFFFF"/>
        <w:spacing w:before="0" w:beforeAutospacing="0" w:after="0" w:afterAutospacing="0"/>
        <w:rPr>
          <w:rFonts w:asciiTheme="minorHAnsi" w:hAnsiTheme="minorHAnsi" w:cstheme="minorHAnsi"/>
          <w:color w:val="222222"/>
        </w:rPr>
      </w:pPr>
      <w:r w:rsidRPr="00D721FB">
        <w:rPr>
          <w:rFonts w:asciiTheme="minorHAnsi" w:hAnsiTheme="minorHAnsi" w:cstheme="minorHAnsi"/>
          <w:color w:val="222222"/>
        </w:rPr>
        <w:t xml:space="preserve">In </w:t>
      </w:r>
      <w:proofErr w:type="gramStart"/>
      <w:r w:rsidRPr="00D721FB">
        <w:rPr>
          <w:rFonts w:asciiTheme="minorHAnsi" w:hAnsiTheme="minorHAnsi" w:cstheme="minorHAnsi"/>
          <w:color w:val="222222"/>
        </w:rPr>
        <w:t>particular</w:t>
      </w:r>
      <w:proofErr w:type="gramEnd"/>
      <w:r w:rsidRPr="00D721FB">
        <w:rPr>
          <w:rFonts w:asciiTheme="minorHAnsi" w:hAnsiTheme="minorHAnsi" w:cstheme="minorHAnsi"/>
          <w:color w:val="222222"/>
        </w:rPr>
        <w:t xml:space="preserve"> we are looking for someone to shadow Roger Knight, as treasurer, for the next 12 months before he stands down.  If you would be interested in this </w:t>
      </w:r>
      <w:proofErr w:type="gramStart"/>
      <w:r w:rsidRPr="00D721FB">
        <w:rPr>
          <w:rFonts w:asciiTheme="minorHAnsi" w:hAnsiTheme="minorHAnsi" w:cstheme="minorHAnsi"/>
          <w:color w:val="222222"/>
        </w:rPr>
        <w:t>role</w:t>
      </w:r>
      <w:proofErr w:type="gramEnd"/>
      <w:r w:rsidRPr="00D721FB">
        <w:rPr>
          <w:rFonts w:asciiTheme="minorHAnsi" w:hAnsiTheme="minorHAnsi" w:cstheme="minorHAnsi"/>
          <w:color w:val="222222"/>
        </w:rPr>
        <w:t xml:space="preserve"> please let one of the FODS team know. </w:t>
      </w:r>
    </w:p>
    <w:sectPr w:rsidR="2C9EB071" w:rsidRPr="00D7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621"/>
    <w:multiLevelType w:val="hybridMultilevel"/>
    <w:tmpl w:val="19588A92"/>
    <w:lvl w:ilvl="0" w:tplc="9A6231E4">
      <w:start w:val="1"/>
      <w:numFmt w:val="decimal"/>
      <w:lvlText w:val="%1."/>
      <w:lvlJc w:val="left"/>
      <w:pPr>
        <w:ind w:left="720" w:hanging="360"/>
      </w:pPr>
    </w:lvl>
    <w:lvl w:ilvl="1" w:tplc="4A5644E6">
      <w:start w:val="1"/>
      <w:numFmt w:val="lowerLetter"/>
      <w:lvlText w:val="%2."/>
      <w:lvlJc w:val="left"/>
      <w:pPr>
        <w:ind w:left="1440" w:hanging="360"/>
      </w:pPr>
    </w:lvl>
    <w:lvl w:ilvl="2" w:tplc="C0B8CA6A">
      <w:start w:val="1"/>
      <w:numFmt w:val="lowerRoman"/>
      <w:lvlText w:val="%3."/>
      <w:lvlJc w:val="right"/>
      <w:pPr>
        <w:ind w:left="2160" w:hanging="180"/>
      </w:pPr>
    </w:lvl>
    <w:lvl w:ilvl="3" w:tplc="C5B67D0A">
      <w:start w:val="1"/>
      <w:numFmt w:val="decimal"/>
      <w:lvlText w:val="%4."/>
      <w:lvlJc w:val="left"/>
      <w:pPr>
        <w:ind w:left="2880" w:hanging="360"/>
      </w:pPr>
    </w:lvl>
    <w:lvl w:ilvl="4" w:tplc="4D1A3CBA">
      <w:start w:val="1"/>
      <w:numFmt w:val="lowerLetter"/>
      <w:lvlText w:val="%5."/>
      <w:lvlJc w:val="left"/>
      <w:pPr>
        <w:ind w:left="3600" w:hanging="360"/>
      </w:pPr>
    </w:lvl>
    <w:lvl w:ilvl="5" w:tplc="3BF21BE4">
      <w:start w:val="1"/>
      <w:numFmt w:val="lowerRoman"/>
      <w:lvlText w:val="%6."/>
      <w:lvlJc w:val="right"/>
      <w:pPr>
        <w:ind w:left="4320" w:hanging="180"/>
      </w:pPr>
    </w:lvl>
    <w:lvl w:ilvl="6" w:tplc="5D62D7A6">
      <w:start w:val="1"/>
      <w:numFmt w:val="decimal"/>
      <w:lvlText w:val="%7."/>
      <w:lvlJc w:val="left"/>
      <w:pPr>
        <w:ind w:left="5040" w:hanging="360"/>
      </w:pPr>
    </w:lvl>
    <w:lvl w:ilvl="7" w:tplc="AC3878EA">
      <w:start w:val="1"/>
      <w:numFmt w:val="lowerLetter"/>
      <w:lvlText w:val="%8."/>
      <w:lvlJc w:val="left"/>
      <w:pPr>
        <w:ind w:left="5760" w:hanging="360"/>
      </w:pPr>
    </w:lvl>
    <w:lvl w:ilvl="8" w:tplc="3F20320C">
      <w:start w:val="1"/>
      <w:numFmt w:val="lowerRoman"/>
      <w:lvlText w:val="%9."/>
      <w:lvlJc w:val="right"/>
      <w:pPr>
        <w:ind w:left="6480" w:hanging="180"/>
      </w:pPr>
    </w:lvl>
  </w:abstractNum>
  <w:abstractNum w:abstractNumId="1" w15:restartNumberingAfterBreak="0">
    <w:nsid w:val="2EB62654"/>
    <w:multiLevelType w:val="hybridMultilevel"/>
    <w:tmpl w:val="224AD5B6"/>
    <w:lvl w:ilvl="0" w:tplc="3048A54A">
      <w:start w:val="1"/>
      <w:numFmt w:val="bullet"/>
      <w:lvlText w:val=""/>
      <w:lvlJc w:val="left"/>
      <w:pPr>
        <w:ind w:left="720" w:hanging="360"/>
      </w:pPr>
      <w:rPr>
        <w:rFonts w:ascii="Symbol" w:hAnsi="Symbol" w:hint="default"/>
      </w:rPr>
    </w:lvl>
    <w:lvl w:ilvl="1" w:tplc="821A90F2">
      <w:start w:val="1"/>
      <w:numFmt w:val="bullet"/>
      <w:lvlText w:val="o"/>
      <w:lvlJc w:val="left"/>
      <w:pPr>
        <w:ind w:left="1440" w:hanging="360"/>
      </w:pPr>
      <w:rPr>
        <w:rFonts w:ascii="Courier New" w:hAnsi="Courier New" w:hint="default"/>
      </w:rPr>
    </w:lvl>
    <w:lvl w:ilvl="2" w:tplc="FF98F9B2">
      <w:start w:val="1"/>
      <w:numFmt w:val="bullet"/>
      <w:lvlText w:val=""/>
      <w:lvlJc w:val="left"/>
      <w:pPr>
        <w:ind w:left="2160" w:hanging="360"/>
      </w:pPr>
      <w:rPr>
        <w:rFonts w:ascii="Wingdings" w:hAnsi="Wingdings" w:hint="default"/>
      </w:rPr>
    </w:lvl>
    <w:lvl w:ilvl="3" w:tplc="E5CA0ED2">
      <w:start w:val="1"/>
      <w:numFmt w:val="bullet"/>
      <w:lvlText w:val=""/>
      <w:lvlJc w:val="left"/>
      <w:pPr>
        <w:ind w:left="2880" w:hanging="360"/>
      </w:pPr>
      <w:rPr>
        <w:rFonts w:ascii="Symbol" w:hAnsi="Symbol" w:hint="default"/>
      </w:rPr>
    </w:lvl>
    <w:lvl w:ilvl="4" w:tplc="DA08FCAE">
      <w:start w:val="1"/>
      <w:numFmt w:val="bullet"/>
      <w:lvlText w:val="o"/>
      <w:lvlJc w:val="left"/>
      <w:pPr>
        <w:ind w:left="3600" w:hanging="360"/>
      </w:pPr>
      <w:rPr>
        <w:rFonts w:ascii="Courier New" w:hAnsi="Courier New" w:hint="default"/>
      </w:rPr>
    </w:lvl>
    <w:lvl w:ilvl="5" w:tplc="2E3297E6">
      <w:start w:val="1"/>
      <w:numFmt w:val="bullet"/>
      <w:lvlText w:val=""/>
      <w:lvlJc w:val="left"/>
      <w:pPr>
        <w:ind w:left="4320" w:hanging="360"/>
      </w:pPr>
      <w:rPr>
        <w:rFonts w:ascii="Wingdings" w:hAnsi="Wingdings" w:hint="default"/>
      </w:rPr>
    </w:lvl>
    <w:lvl w:ilvl="6" w:tplc="F6F49EF2">
      <w:start w:val="1"/>
      <w:numFmt w:val="bullet"/>
      <w:lvlText w:val=""/>
      <w:lvlJc w:val="left"/>
      <w:pPr>
        <w:ind w:left="5040" w:hanging="360"/>
      </w:pPr>
      <w:rPr>
        <w:rFonts w:ascii="Symbol" w:hAnsi="Symbol" w:hint="default"/>
      </w:rPr>
    </w:lvl>
    <w:lvl w:ilvl="7" w:tplc="240EA19E">
      <w:start w:val="1"/>
      <w:numFmt w:val="bullet"/>
      <w:lvlText w:val="o"/>
      <w:lvlJc w:val="left"/>
      <w:pPr>
        <w:ind w:left="5760" w:hanging="360"/>
      </w:pPr>
      <w:rPr>
        <w:rFonts w:ascii="Courier New" w:hAnsi="Courier New" w:hint="default"/>
      </w:rPr>
    </w:lvl>
    <w:lvl w:ilvl="8" w:tplc="9B3488A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452EE2"/>
    <w:rsid w:val="00144361"/>
    <w:rsid w:val="00331F94"/>
    <w:rsid w:val="00446CF5"/>
    <w:rsid w:val="004E24F7"/>
    <w:rsid w:val="005E4F50"/>
    <w:rsid w:val="00683467"/>
    <w:rsid w:val="0073102C"/>
    <w:rsid w:val="007A73F1"/>
    <w:rsid w:val="00900BBA"/>
    <w:rsid w:val="00A827A0"/>
    <w:rsid w:val="00AB05D2"/>
    <w:rsid w:val="00C9349A"/>
    <w:rsid w:val="00D53A0B"/>
    <w:rsid w:val="00D721FB"/>
    <w:rsid w:val="00EC2726"/>
    <w:rsid w:val="00F3248F"/>
    <w:rsid w:val="00F526B2"/>
    <w:rsid w:val="00FE1249"/>
    <w:rsid w:val="2C9EB071"/>
    <w:rsid w:val="7245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EE2"/>
  <w15:chartTrackingRefBased/>
  <w15:docId w15:val="{8DCB63DB-1C8E-4F82-A79A-CE70D1B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D721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7A73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B4BD7-C603-4361-BE91-15BBFFDD3D53}"/>
</file>

<file path=customXml/itemProps2.xml><?xml version="1.0" encoding="utf-8"?>
<ds:datastoreItem xmlns:ds="http://schemas.openxmlformats.org/officeDocument/2006/customXml" ds:itemID="{2348A1C0-02DE-4D8C-A2A4-2B6960BDCD06}"/>
</file>

<file path=customXml/itemProps3.xml><?xml version="1.0" encoding="utf-8"?>
<ds:datastoreItem xmlns:ds="http://schemas.openxmlformats.org/officeDocument/2006/customXml" ds:itemID="{9A096BC8-7F74-4038-9CF8-D20F2787E4FD}"/>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Lethbridge</dc:creator>
  <cp:keywords/>
  <dc:description/>
  <cp:lastModifiedBy>Admin Diptford</cp:lastModifiedBy>
  <cp:revision>2</cp:revision>
  <dcterms:created xsi:type="dcterms:W3CDTF">2021-10-19T12:39:00Z</dcterms:created>
  <dcterms:modified xsi:type="dcterms:W3CDTF">2021-10-19T12:39:00Z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